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8C" w:rsidRPr="00461A16" w:rsidRDefault="00CD3A8C" w:rsidP="00CD3A8C">
      <w:pPr>
        <w:pStyle w:val="Heading1Agency"/>
      </w:pPr>
      <w:bookmarkStart w:id="0" w:name="_GoBack"/>
      <w:bookmarkEnd w:id="0"/>
      <w:proofErr w:type="spellStart"/>
      <w:r w:rsidRPr="00461A16">
        <w:t>Fluoroquinolones</w:t>
      </w:r>
      <w:proofErr w:type="spellEnd"/>
      <w:r w:rsidRPr="00461A16">
        <w:t xml:space="preserve"> à usage systémique et en inhalation</w:t>
      </w:r>
      <w:r>
        <w:rPr>
          <w:rStyle w:val="Appelnotedebasdep"/>
        </w:rPr>
        <w:footnoteReference w:id="1"/>
      </w:r>
      <w:r w:rsidRPr="00461A16">
        <w:t xml:space="preserve"> – Anévrisme aortique et dissection aortique (EPITT nº 18651)</w:t>
      </w:r>
    </w:p>
    <w:p w:rsidR="00CD3A8C" w:rsidRPr="00461A16" w:rsidRDefault="00CD3A8C" w:rsidP="00CD3A8C">
      <w:pPr>
        <w:pStyle w:val="BodytextAgency"/>
        <w:rPr>
          <w:b/>
        </w:rPr>
      </w:pPr>
      <w:r w:rsidRPr="00461A16">
        <w:rPr>
          <w:b/>
        </w:rPr>
        <w:t>Résumé des caractéristiques du produit</w:t>
      </w:r>
    </w:p>
    <w:p w:rsidR="00CD3A8C" w:rsidRPr="00461A16" w:rsidRDefault="00CD3A8C" w:rsidP="00CD3A8C">
      <w:pPr>
        <w:pStyle w:val="BodytextAgency"/>
      </w:pPr>
      <w:r w:rsidRPr="00461A16">
        <w:t>4.4. Mises en garde spéciales et précautions d’emploi</w:t>
      </w:r>
    </w:p>
    <w:p w:rsidR="00CD3A8C" w:rsidRPr="00461A16" w:rsidRDefault="00CD3A8C" w:rsidP="00CD3A8C">
      <w:pPr>
        <w:pStyle w:val="BodytextAgency"/>
        <w:rPr>
          <w:u w:val="single"/>
        </w:rPr>
      </w:pPr>
      <w:r w:rsidRPr="00461A16">
        <w:rPr>
          <w:u w:val="single"/>
        </w:rPr>
        <w:t xml:space="preserve">Les études épidémiologiques font état d'une augmentation du risque d'anévrisme aortique et de dissection aortique après la prise de </w:t>
      </w:r>
      <w:proofErr w:type="spellStart"/>
      <w:r w:rsidRPr="00461A16">
        <w:rPr>
          <w:u w:val="single"/>
        </w:rPr>
        <w:t>fluoroquinolones</w:t>
      </w:r>
      <w:proofErr w:type="spellEnd"/>
      <w:r w:rsidRPr="00461A16">
        <w:rPr>
          <w:u w:val="single"/>
        </w:rPr>
        <w:t>, en particulier chez les personnes âgées.</w:t>
      </w:r>
    </w:p>
    <w:p w:rsidR="00CD3A8C" w:rsidRPr="00461A16" w:rsidRDefault="00CD3A8C" w:rsidP="00CD3A8C">
      <w:pPr>
        <w:pStyle w:val="BodytextAgency"/>
        <w:rPr>
          <w:u w:val="single"/>
        </w:rPr>
      </w:pPr>
      <w:r w:rsidRPr="00461A16">
        <w:rPr>
          <w:u w:val="single"/>
        </w:rPr>
        <w:t xml:space="preserve">Par conséquent, les </w:t>
      </w:r>
      <w:proofErr w:type="spellStart"/>
      <w:r w:rsidRPr="00461A16">
        <w:rPr>
          <w:u w:val="single"/>
        </w:rPr>
        <w:t>fluoroquinolones</w:t>
      </w:r>
      <w:proofErr w:type="spellEnd"/>
      <w:r w:rsidRPr="00461A16">
        <w:rPr>
          <w:u w:val="single"/>
        </w:rPr>
        <w:t xml:space="preserve"> ne doivent être utilisées qu'après une évaluation soigneuse du rapport bénéfice/risque et après avoir envisagé d'autres options thérapeutiques chez les patients ayant des antécédents familiaux de maladie anévrismale, ou chez les patients ayant reçu un diagnostic d'anévrisme aortique et/ou de dissection aortique préexistant, ou présentant d'autres facteurs de risque ou affections prédisposant à l'anévrisme aortique et à la dissection aortique (par exemple, le syndrome de </w:t>
      </w:r>
      <w:proofErr w:type="spellStart"/>
      <w:r w:rsidRPr="00461A16">
        <w:rPr>
          <w:u w:val="single"/>
        </w:rPr>
        <w:t>Marfan</w:t>
      </w:r>
      <w:proofErr w:type="spellEnd"/>
      <w:r w:rsidRPr="00461A16">
        <w:rPr>
          <w:u w:val="single"/>
        </w:rPr>
        <w:t>, le syndrome vasculaire d'</w:t>
      </w:r>
      <w:proofErr w:type="spellStart"/>
      <w:r w:rsidRPr="00461A16">
        <w:rPr>
          <w:u w:val="single"/>
        </w:rPr>
        <w:t>Ehlers-Danlos</w:t>
      </w:r>
      <w:proofErr w:type="spellEnd"/>
      <w:r w:rsidRPr="00461A16">
        <w:rPr>
          <w:u w:val="single"/>
        </w:rPr>
        <w:t xml:space="preserve">, l’artérite de </w:t>
      </w:r>
      <w:proofErr w:type="spellStart"/>
      <w:r w:rsidRPr="00461A16">
        <w:rPr>
          <w:u w:val="single"/>
        </w:rPr>
        <w:t>Takayasu</w:t>
      </w:r>
      <w:proofErr w:type="spellEnd"/>
      <w:r w:rsidRPr="00461A16">
        <w:rPr>
          <w:u w:val="single"/>
        </w:rPr>
        <w:t xml:space="preserve">, l’artérite à cellules géantes, la maladie de </w:t>
      </w:r>
      <w:proofErr w:type="spellStart"/>
      <w:r w:rsidRPr="00461A16">
        <w:rPr>
          <w:u w:val="single"/>
        </w:rPr>
        <w:t>Behçet</w:t>
      </w:r>
      <w:proofErr w:type="spellEnd"/>
      <w:r w:rsidRPr="00461A16">
        <w:rPr>
          <w:u w:val="single"/>
        </w:rPr>
        <w:t>, l’hypertension, une athérosclérose connue).</w:t>
      </w:r>
    </w:p>
    <w:p w:rsidR="00CD3A8C" w:rsidRPr="00461A16" w:rsidRDefault="00CD3A8C" w:rsidP="00CD3A8C">
      <w:pPr>
        <w:pStyle w:val="BodytextAgency"/>
        <w:rPr>
          <w:u w:val="single"/>
        </w:rPr>
      </w:pPr>
      <w:r w:rsidRPr="00461A16">
        <w:rPr>
          <w:u w:val="single"/>
        </w:rPr>
        <w:t>En cas de douleurs abdominales, thoraciques ou dorsales soudaines, il doit être recommandé aux patients de contacter immédiatement un service d'urgences médicales.</w:t>
      </w:r>
    </w:p>
    <w:p w:rsidR="00CD3A8C" w:rsidRDefault="00CD3A8C" w:rsidP="00CD3A8C">
      <w:pPr>
        <w:pStyle w:val="BodytextAgency"/>
        <w:rPr>
          <w:b/>
        </w:rPr>
      </w:pPr>
    </w:p>
    <w:p w:rsidR="00CD3A8C" w:rsidRPr="00461A16" w:rsidRDefault="00CD3A8C" w:rsidP="00CD3A8C">
      <w:pPr>
        <w:pStyle w:val="BodytextAgency"/>
        <w:rPr>
          <w:b/>
        </w:rPr>
      </w:pPr>
      <w:r w:rsidRPr="00461A16">
        <w:rPr>
          <w:b/>
        </w:rPr>
        <w:t>Notice</w:t>
      </w:r>
    </w:p>
    <w:p w:rsidR="00CD3A8C" w:rsidRPr="00461A16" w:rsidRDefault="00CD3A8C" w:rsidP="00CD3A8C">
      <w:pPr>
        <w:pStyle w:val="BodytextAgency"/>
      </w:pPr>
      <w:r w:rsidRPr="00461A16">
        <w:t>2. Quelles sont les informations à connaître avant de prendre [produit]?</w:t>
      </w:r>
    </w:p>
    <w:p w:rsidR="00CD3A8C" w:rsidRPr="00461A16" w:rsidRDefault="00CD3A8C" w:rsidP="00CD3A8C">
      <w:pPr>
        <w:pStyle w:val="BodytextAgency"/>
      </w:pPr>
      <w:r w:rsidRPr="00461A16">
        <w:t>Mises en garde et précautions</w:t>
      </w:r>
    </w:p>
    <w:p w:rsidR="00CD3A8C" w:rsidRPr="00461A16" w:rsidRDefault="00CD3A8C" w:rsidP="00CD3A8C">
      <w:pPr>
        <w:pStyle w:val="BodytextAgency"/>
      </w:pPr>
      <w:r w:rsidRPr="00461A16">
        <w:t>Adressez-vous à votre médecin avant de prendre [produit]:</w:t>
      </w:r>
    </w:p>
    <w:p w:rsidR="00CD3A8C" w:rsidRPr="00461A16" w:rsidRDefault="00CD3A8C" w:rsidP="00CD3A8C">
      <w:pPr>
        <w:pStyle w:val="BodytextAgency"/>
      </w:pPr>
      <w:r w:rsidRPr="00461A16">
        <w:t>[…]</w:t>
      </w:r>
    </w:p>
    <w:p w:rsidR="00CD3A8C" w:rsidRPr="00461A16" w:rsidRDefault="00CD3A8C" w:rsidP="00CD3A8C">
      <w:pPr>
        <w:pStyle w:val="BodytextAgency"/>
        <w:rPr>
          <w:u w:val="single"/>
        </w:rPr>
      </w:pPr>
      <w:r w:rsidRPr="00461A16">
        <w:rPr>
          <w:u w:val="single"/>
        </w:rPr>
        <w:t>- si vous avez reçu un diagnostic d'hypertrophie ou de «renflement» d'un gros vaisseau sanguin (anévrisme aortique ou anévrisme périphérique d’un gros vaisseau);</w:t>
      </w:r>
    </w:p>
    <w:p w:rsidR="00CD3A8C" w:rsidRPr="00461A16" w:rsidRDefault="00CD3A8C" w:rsidP="00CD3A8C">
      <w:pPr>
        <w:pStyle w:val="BodytextAgency"/>
        <w:rPr>
          <w:u w:val="single"/>
        </w:rPr>
      </w:pPr>
      <w:r w:rsidRPr="00461A16">
        <w:rPr>
          <w:u w:val="single"/>
        </w:rPr>
        <w:t>- si vous avez déjà eu un épisode antérieur de dissection aortique (une déchirure de la paroi aortique);</w:t>
      </w:r>
    </w:p>
    <w:p w:rsidR="00CD3A8C" w:rsidRPr="00461A16" w:rsidRDefault="00CD3A8C" w:rsidP="00CD3A8C">
      <w:pPr>
        <w:pStyle w:val="BodytextAgency"/>
        <w:rPr>
          <w:u w:val="single"/>
        </w:rPr>
      </w:pPr>
      <w:r w:rsidRPr="00461A16">
        <w:rPr>
          <w:u w:val="single"/>
        </w:rPr>
        <w:t xml:space="preserve">- si vous présentez des antécédents familiaux d'anévrisme aortique ou de dissection aortique ou d'autres facteurs de risque ou affections </w:t>
      </w:r>
      <w:proofErr w:type="spellStart"/>
      <w:r w:rsidRPr="00461A16">
        <w:rPr>
          <w:u w:val="single"/>
        </w:rPr>
        <w:t>prédisposantes</w:t>
      </w:r>
      <w:proofErr w:type="spellEnd"/>
      <w:r w:rsidRPr="00461A16">
        <w:rPr>
          <w:u w:val="single"/>
        </w:rPr>
        <w:t xml:space="preserve"> (par exemple, des troubles du tissu conjonctif comme le syndrome de </w:t>
      </w:r>
      <w:proofErr w:type="spellStart"/>
      <w:r w:rsidRPr="00461A16">
        <w:rPr>
          <w:u w:val="single"/>
        </w:rPr>
        <w:t>Marfan</w:t>
      </w:r>
      <w:proofErr w:type="spellEnd"/>
      <w:r w:rsidRPr="00461A16">
        <w:rPr>
          <w:u w:val="single"/>
        </w:rPr>
        <w:t xml:space="preserve"> ou le syndrome d'</w:t>
      </w:r>
      <w:proofErr w:type="spellStart"/>
      <w:r w:rsidRPr="00461A16">
        <w:rPr>
          <w:u w:val="single"/>
        </w:rPr>
        <w:t>Ehlers-Danlos</w:t>
      </w:r>
      <w:proofErr w:type="spellEnd"/>
      <w:r w:rsidRPr="00461A16">
        <w:rPr>
          <w:u w:val="single"/>
        </w:rPr>
        <w:t xml:space="preserve"> vasculaire, ou des troubles vasculaires comme l'artérite de </w:t>
      </w:r>
      <w:proofErr w:type="spellStart"/>
      <w:r w:rsidRPr="00461A16">
        <w:rPr>
          <w:u w:val="single"/>
        </w:rPr>
        <w:t>Takayasu</w:t>
      </w:r>
      <w:proofErr w:type="spellEnd"/>
      <w:r w:rsidRPr="00461A16">
        <w:rPr>
          <w:u w:val="single"/>
        </w:rPr>
        <w:t xml:space="preserve">, l'artérite à cellules géantes, la maladie de </w:t>
      </w:r>
      <w:proofErr w:type="spellStart"/>
      <w:r w:rsidRPr="00461A16">
        <w:rPr>
          <w:u w:val="single"/>
        </w:rPr>
        <w:t>Behçet</w:t>
      </w:r>
      <w:proofErr w:type="spellEnd"/>
      <w:r w:rsidRPr="00461A16">
        <w:rPr>
          <w:u w:val="single"/>
        </w:rPr>
        <w:t>, l’hypertension artérielle ou une athérosclérose connue);</w:t>
      </w:r>
    </w:p>
    <w:p w:rsidR="00CD3A8C" w:rsidRPr="00461A16" w:rsidRDefault="00CD3A8C" w:rsidP="00CD3A8C">
      <w:pPr>
        <w:pStyle w:val="BodytextAgency"/>
      </w:pPr>
      <w:r w:rsidRPr="00461A16">
        <w:t>[…]</w:t>
      </w:r>
    </w:p>
    <w:p w:rsidR="00CD3A8C" w:rsidRDefault="00CD3A8C" w:rsidP="00CD3A8C">
      <w:pPr>
        <w:pStyle w:val="BodytextAgency"/>
        <w:rPr>
          <w:u w:val="single"/>
        </w:rPr>
      </w:pPr>
      <w:proofErr w:type="gramStart"/>
      <w:r w:rsidRPr="00461A16">
        <w:rPr>
          <w:u w:val="single"/>
        </w:rPr>
        <w:t>si</w:t>
      </w:r>
      <w:proofErr w:type="gramEnd"/>
      <w:r w:rsidRPr="00461A16">
        <w:rPr>
          <w:u w:val="single"/>
        </w:rPr>
        <w:t xml:space="preserve"> vous ressentez une douleur soudaine et intense au niveau de l’abdomen ou du dos, rendez-vous immédiatement au service d'urgence d'un hôpital.</w:t>
      </w:r>
    </w:p>
    <w:p w:rsidR="00CB1EFB" w:rsidRPr="00CD3A8C" w:rsidRDefault="00CB1EFB">
      <w:pPr>
        <w:rPr>
          <w:lang w:val="fr-FR"/>
        </w:rPr>
      </w:pPr>
    </w:p>
    <w:sectPr w:rsidR="00CB1EFB" w:rsidRPr="00CD3A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8C" w:rsidRDefault="00CD3A8C" w:rsidP="00CD3A8C">
      <w:pPr>
        <w:spacing w:after="0" w:line="240" w:lineRule="auto"/>
      </w:pPr>
      <w:r>
        <w:separator/>
      </w:r>
    </w:p>
  </w:endnote>
  <w:endnote w:type="continuationSeparator" w:id="0">
    <w:p w:rsidR="00CD3A8C" w:rsidRDefault="00CD3A8C" w:rsidP="00CD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8C" w:rsidRDefault="00CD3A8C" w:rsidP="00CD3A8C">
      <w:pPr>
        <w:spacing w:after="0" w:line="240" w:lineRule="auto"/>
      </w:pPr>
      <w:r>
        <w:separator/>
      </w:r>
    </w:p>
  </w:footnote>
  <w:footnote w:type="continuationSeparator" w:id="0">
    <w:p w:rsidR="00CD3A8C" w:rsidRDefault="00CD3A8C" w:rsidP="00CD3A8C">
      <w:pPr>
        <w:spacing w:after="0" w:line="240" w:lineRule="auto"/>
      </w:pPr>
      <w:r>
        <w:continuationSeparator/>
      </w:r>
    </w:p>
  </w:footnote>
  <w:footnote w:id="1">
    <w:p w:rsidR="00CD3A8C" w:rsidRPr="00284CDD" w:rsidRDefault="00CD3A8C" w:rsidP="00CD3A8C">
      <w:pPr>
        <w:pStyle w:val="Notedebasdepage"/>
        <w:rPr>
          <w:rFonts w:ascii="Verdana" w:hAnsi="Verdana"/>
        </w:rPr>
      </w:pPr>
      <w:r>
        <w:rPr>
          <w:rStyle w:val="Appelnotedebasdep"/>
        </w:rPr>
        <w:footnoteRef/>
      </w:r>
      <w:r>
        <w:rPr>
          <w:rFonts w:ascii="Verdana" w:hAnsi="Verdana"/>
        </w:rPr>
        <w:t xml:space="preserve"> Ciprofloxacine; </w:t>
      </w:r>
      <w:proofErr w:type="spellStart"/>
      <w:r>
        <w:rPr>
          <w:rFonts w:ascii="Verdana" w:hAnsi="Verdana"/>
        </w:rPr>
        <w:t>flumequine</w:t>
      </w:r>
      <w:proofErr w:type="spellEnd"/>
      <w:r>
        <w:rPr>
          <w:rFonts w:ascii="Verdana" w:hAnsi="Verdana"/>
        </w:rPr>
        <w:t xml:space="preserve">; </w:t>
      </w:r>
      <w:proofErr w:type="spellStart"/>
      <w:r>
        <w:rPr>
          <w:rFonts w:ascii="Verdana" w:hAnsi="Verdana"/>
        </w:rPr>
        <w:t>levofloxacine</w:t>
      </w:r>
      <w:proofErr w:type="spellEnd"/>
      <w:r>
        <w:rPr>
          <w:rFonts w:ascii="Verdana" w:hAnsi="Verdana"/>
        </w:rPr>
        <w:t xml:space="preserve">; </w:t>
      </w:r>
      <w:proofErr w:type="spellStart"/>
      <w:r>
        <w:rPr>
          <w:rFonts w:ascii="Verdana" w:hAnsi="Verdana"/>
        </w:rPr>
        <w:t>lomefloxacine</w:t>
      </w:r>
      <w:proofErr w:type="spellEnd"/>
      <w:r>
        <w:rPr>
          <w:rFonts w:ascii="Verdana" w:hAnsi="Verdana"/>
        </w:rPr>
        <w:t xml:space="preserve">; </w:t>
      </w:r>
      <w:proofErr w:type="spellStart"/>
      <w:r>
        <w:rPr>
          <w:rFonts w:ascii="Verdana" w:hAnsi="Verdana"/>
        </w:rPr>
        <w:t>moxifloxacine</w:t>
      </w:r>
      <w:proofErr w:type="spellEnd"/>
      <w:r>
        <w:rPr>
          <w:rFonts w:ascii="Verdana" w:hAnsi="Verdana"/>
        </w:rPr>
        <w:t xml:space="preserve">; </w:t>
      </w:r>
      <w:proofErr w:type="spellStart"/>
      <w:r>
        <w:rPr>
          <w:rFonts w:ascii="Verdana" w:hAnsi="Verdana"/>
        </w:rPr>
        <w:t>norfloxacine</w:t>
      </w:r>
      <w:proofErr w:type="spellEnd"/>
      <w:r>
        <w:rPr>
          <w:rFonts w:ascii="Verdana" w:hAnsi="Verdana"/>
        </w:rPr>
        <w:t xml:space="preserve">; </w:t>
      </w:r>
      <w:proofErr w:type="spellStart"/>
      <w:r>
        <w:rPr>
          <w:rFonts w:ascii="Verdana" w:hAnsi="Verdana"/>
        </w:rPr>
        <w:t>ofloxacine</w:t>
      </w:r>
      <w:proofErr w:type="spellEnd"/>
      <w:r>
        <w:rPr>
          <w:rFonts w:ascii="Verdana" w:hAnsi="Verdana"/>
        </w:rPr>
        <w:t xml:space="preserve">; </w:t>
      </w:r>
      <w:proofErr w:type="spellStart"/>
      <w:r>
        <w:rPr>
          <w:rFonts w:ascii="Verdana" w:hAnsi="Verdana"/>
        </w:rPr>
        <w:t>pefloxacine</w:t>
      </w:r>
      <w:proofErr w:type="spellEnd"/>
      <w:r>
        <w:rPr>
          <w:rFonts w:ascii="Verdana" w:hAnsi="Verdana"/>
        </w:rPr>
        <w:t xml:space="preserve">; </w:t>
      </w:r>
      <w:proofErr w:type="spellStart"/>
      <w:r>
        <w:rPr>
          <w:rFonts w:ascii="Verdana" w:hAnsi="Verdana"/>
        </w:rPr>
        <w:t>prulifloxacine</w:t>
      </w:r>
      <w:proofErr w:type="spellEnd"/>
      <w:r>
        <w:rPr>
          <w:rFonts w:ascii="Verdana" w:hAnsi="Verdana"/>
        </w:rPr>
        <w:t xml:space="preserve">; </w:t>
      </w:r>
      <w:proofErr w:type="spellStart"/>
      <w:r>
        <w:rPr>
          <w:rFonts w:ascii="Verdana" w:hAnsi="Verdana"/>
        </w:rPr>
        <w:t>rufloxacine</w:t>
      </w:r>
      <w:proofErr w:type="spellEnd"/>
      <w:r>
        <w:rPr>
          <w:rFonts w:ascii="Verdana" w:hAnsi="Verdan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8C"/>
    <w:rsid w:val="00066947"/>
    <w:rsid w:val="003C7C5D"/>
    <w:rsid w:val="00CB1EFB"/>
    <w:rsid w:val="00C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779DA-D613-49DE-9D4D-32D3B053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5D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Agency">
    <w:name w:val="Body text (Agency)"/>
    <w:basedOn w:val="Normal"/>
    <w:link w:val="BodytextAgencyChar"/>
    <w:qFormat/>
    <w:rsid w:val="00CD3A8C"/>
    <w:pPr>
      <w:spacing w:after="140" w:line="280" w:lineRule="atLeast"/>
    </w:pPr>
    <w:rPr>
      <w:rFonts w:ascii="Verdana" w:eastAsia="Verdana" w:hAnsi="Verdana" w:cs="Verdana"/>
      <w:sz w:val="18"/>
      <w:szCs w:val="18"/>
      <w:lang w:val="fr-FR" w:eastAsia="fr-FR" w:bidi="fr-FR"/>
    </w:rPr>
  </w:style>
  <w:style w:type="character" w:styleId="Appelnotedebasdep">
    <w:name w:val="footnote reference"/>
    <w:semiHidden/>
    <w:rsid w:val="00CD3A8C"/>
    <w:rPr>
      <w:rFonts w:ascii="Verdana" w:hAnsi="Verdana"/>
      <w:vertAlign w:val="superscript"/>
    </w:rPr>
  </w:style>
  <w:style w:type="paragraph" w:styleId="Notedebasdepage">
    <w:name w:val="footnote text"/>
    <w:basedOn w:val="Normal"/>
    <w:link w:val="NotedebasdepageCar"/>
    <w:semiHidden/>
    <w:rsid w:val="00CD3A8C"/>
    <w:pPr>
      <w:spacing w:after="0" w:line="240" w:lineRule="auto"/>
    </w:pPr>
    <w:rPr>
      <w:rFonts w:ascii="Times New Roman" w:eastAsia="Verdana" w:hAnsi="Times New Roman" w:cs="Times New Roman"/>
      <w:sz w:val="15"/>
      <w:szCs w:val="20"/>
      <w:lang w:val="fr-FR" w:eastAsia="fr-FR" w:bidi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D3A8C"/>
    <w:rPr>
      <w:rFonts w:ascii="Times New Roman" w:eastAsia="Verdana" w:hAnsi="Times New Roman" w:cs="Times New Roman"/>
      <w:sz w:val="15"/>
      <w:szCs w:val="20"/>
      <w:lang w:val="fr-FR" w:eastAsia="fr-FR" w:bidi="fr-FR"/>
    </w:rPr>
  </w:style>
  <w:style w:type="paragraph" w:customStyle="1" w:styleId="Heading1Agency">
    <w:name w:val="Heading 1 (Agency)"/>
    <w:basedOn w:val="Normal"/>
    <w:next w:val="BodytextAgency"/>
    <w:qFormat/>
    <w:rsid w:val="00CD3A8C"/>
    <w:pPr>
      <w:keepNext/>
      <w:numPr>
        <w:numId w:val="1"/>
      </w:numPr>
      <w:spacing w:before="280" w:after="220" w:line="240" w:lineRule="auto"/>
      <w:ind w:left="0"/>
      <w:outlineLvl w:val="0"/>
    </w:pPr>
    <w:rPr>
      <w:rFonts w:ascii="Verdana" w:eastAsia="Verdana" w:hAnsi="Verdana" w:cs="Arial"/>
      <w:b/>
      <w:bCs/>
      <w:kern w:val="32"/>
      <w:sz w:val="27"/>
      <w:szCs w:val="27"/>
      <w:lang w:val="fr-FR" w:eastAsia="fr-FR" w:bidi="fr-FR"/>
    </w:rPr>
  </w:style>
  <w:style w:type="paragraph" w:customStyle="1" w:styleId="Heading2Agency">
    <w:name w:val="Heading 2 (Agency)"/>
    <w:basedOn w:val="Normal"/>
    <w:next w:val="BodytextAgency"/>
    <w:qFormat/>
    <w:rsid w:val="00CD3A8C"/>
    <w:pPr>
      <w:keepNext/>
      <w:numPr>
        <w:ilvl w:val="1"/>
        <w:numId w:val="1"/>
      </w:numPr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 w:val="22"/>
      <w:lang w:val="fr-FR" w:eastAsia="fr-FR" w:bidi="fr-FR"/>
    </w:rPr>
  </w:style>
  <w:style w:type="paragraph" w:customStyle="1" w:styleId="Heading3Agency">
    <w:name w:val="Heading 3 (Agency)"/>
    <w:basedOn w:val="Normal"/>
    <w:next w:val="BodytextAgency"/>
    <w:qFormat/>
    <w:rsid w:val="00CD3A8C"/>
    <w:pPr>
      <w:keepNext/>
      <w:numPr>
        <w:ilvl w:val="2"/>
        <w:numId w:val="1"/>
      </w:numPr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 w:val="22"/>
      <w:lang w:val="fr-FR" w:eastAsia="fr-FR" w:bidi="fr-FR"/>
    </w:rPr>
  </w:style>
  <w:style w:type="paragraph" w:customStyle="1" w:styleId="Heading4Agency">
    <w:name w:val="Heading 4 (Agency)"/>
    <w:basedOn w:val="Heading3Agency"/>
    <w:next w:val="BodytextAgency"/>
    <w:qFormat/>
    <w:rsid w:val="00CD3A8C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CD3A8C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CD3A8C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CD3A8C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CD3A8C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CD3A8C"/>
    <w:pPr>
      <w:numPr>
        <w:ilvl w:val="8"/>
      </w:numPr>
      <w:outlineLvl w:val="8"/>
    </w:pPr>
  </w:style>
  <w:style w:type="character" w:customStyle="1" w:styleId="BodytextAgencyChar">
    <w:name w:val="Body text (Agency) Char"/>
    <w:link w:val="BodytextAgency"/>
    <w:locked/>
    <w:rsid w:val="00CD3A8C"/>
    <w:rPr>
      <w:rFonts w:ascii="Verdana" w:eastAsia="Verdana" w:hAnsi="Verdana" w:cs="Verdana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ANSM</dc:creator>
  <cp:keywords/>
  <dc:description/>
  <cp:lastModifiedBy>Myriam CHARPENTIER</cp:lastModifiedBy>
  <cp:revision>2</cp:revision>
  <dcterms:created xsi:type="dcterms:W3CDTF">2019-01-11T10:41:00Z</dcterms:created>
  <dcterms:modified xsi:type="dcterms:W3CDTF">2019-01-11T10:41:00Z</dcterms:modified>
</cp:coreProperties>
</file>